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313113</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L1-RSRP measurement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8.7.3.2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recent RAN plenary 100 meeting, a revised WID[1] for Rel-18 was approved </w:t>
      </w:r>
      <w:r>
        <w:rPr>
          <w:rFonts w:hint="eastAsia"/>
          <w:lang w:val="en-US" w:eastAsia="zh-CN"/>
        </w:rPr>
        <w:t xml:space="preserve">to further clarify the scope of the </w:t>
      </w:r>
      <w:r>
        <w:rPr>
          <w:lang w:val="en-US"/>
        </w:rPr>
        <w:t xml:space="preserve"> simultaneous DL recept</w:t>
      </w:r>
      <w:bookmarkStart w:id="1" w:name="_GoBack"/>
      <w:bookmarkEnd w:id="1"/>
      <w:r>
        <w:rPr>
          <w:lang w:val="en-US"/>
        </w:rPr>
        <w:t>ion from different directions with different QCL TypeD RSs on a single component carrier</w:t>
      </w:r>
      <w:r>
        <w:rPr>
          <w:rFonts w:hint="eastAsia" w:eastAsia="宋体"/>
          <w:lang w:val="en-US" w:eastAsia="zh-CN"/>
        </w:rPr>
        <w:t>. The main update is to remove the NOTEs related with L3 measurement delay.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spacing w:after="0"/>
              <w:rPr>
                <w:lang w:val="en-US"/>
              </w:rPr>
            </w:pPr>
            <w:r>
              <w:rPr>
                <w:lang w:val="en-US"/>
              </w:rPr>
              <w:t>Introduce necessary requirement(s) for enhanced FR2-1 UEs with simultaneous DL reception with two different QCL TypeD RSs on single component carrier with up to 4 layer DL MIMO</w:t>
            </w:r>
          </w:p>
          <w:p>
            <w:pPr>
              <w:numPr>
                <w:ilvl w:val="1"/>
                <w:numId w:val="5"/>
              </w:numPr>
              <w:spacing w:after="0"/>
              <w:rPr>
                <w:lang w:val="en-US"/>
              </w:rPr>
            </w:pPr>
            <w:r>
              <w:rPr>
                <w:rFonts w:hint="eastAsia"/>
                <w:lang w:val="en-US"/>
              </w:rPr>
              <w:t>Enhanced RF requirements:</w:t>
            </w:r>
          </w:p>
          <w:p>
            <w:pPr>
              <w:numPr>
                <w:ilvl w:val="2"/>
                <w:numId w:val="5"/>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5"/>
              </w:numPr>
              <w:spacing w:after="0"/>
              <w:rPr>
                <w:lang w:val="en-US"/>
              </w:rPr>
            </w:pPr>
            <w:r>
              <w:rPr>
                <w:lang w:val="en-US"/>
              </w:rPr>
              <w:t>The legacy spherical coverage requirement for reception from a single direction will be kept</w:t>
            </w:r>
          </w:p>
          <w:p>
            <w:pPr>
              <w:numPr>
                <w:ilvl w:val="2"/>
                <w:numId w:val="5"/>
              </w:numPr>
              <w:spacing w:after="0"/>
              <w:rPr>
                <w:lang w:val="en-US"/>
              </w:rPr>
            </w:pPr>
            <w:r>
              <w:rPr>
                <w:lang w:val="en-US"/>
              </w:rPr>
              <w:t>PC3 will be prioritized, other power classes should be considered after the PC3 requirements framework is finalized</w:t>
            </w:r>
          </w:p>
          <w:p>
            <w:pPr>
              <w:numPr>
                <w:ilvl w:val="0"/>
                <w:numId w:val="5"/>
              </w:numPr>
              <w:spacing w:after="0"/>
              <w:rPr>
                <w:lang w:val="en-US"/>
              </w:rPr>
            </w:pPr>
            <w:r>
              <w:rPr>
                <w:lang w:val="en-US"/>
              </w:rPr>
              <w:t>Introduce necessary requirement(s) for enhanced FR2-1 UEs with simultaneous DL reception from different directions with different QCL TypeD RSs on a single component carrier</w:t>
            </w:r>
          </w:p>
          <w:p>
            <w:pPr>
              <w:numPr>
                <w:ilvl w:val="1"/>
                <w:numId w:val="5"/>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5"/>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5"/>
              </w:numPr>
              <w:spacing w:after="0"/>
              <w:rPr>
                <w:lang w:val="en-US"/>
              </w:rPr>
            </w:pPr>
            <w:r>
              <w:rPr>
                <w:lang w:val="en-US"/>
              </w:rPr>
              <w:t>L1-RSRP measurement delay</w:t>
            </w:r>
          </w:p>
          <w:p>
            <w:pPr>
              <w:numPr>
                <w:ilvl w:val="3"/>
                <w:numId w:val="5"/>
              </w:numPr>
              <w:spacing w:after="0"/>
              <w:rPr>
                <w:lang w:val="en-US"/>
              </w:rPr>
            </w:pPr>
            <w:r>
              <w:rPr>
                <w:lang w:val="en-US"/>
              </w:rPr>
              <w:t>RLM and BFD/CBD requirements</w:t>
            </w:r>
          </w:p>
          <w:p>
            <w:pPr>
              <w:numPr>
                <w:ilvl w:val="3"/>
                <w:numId w:val="5"/>
              </w:numPr>
              <w:spacing w:after="0"/>
              <w:rPr>
                <w:lang w:val="en-US"/>
              </w:rPr>
            </w:pPr>
            <w:r>
              <w:rPr>
                <w:lang w:val="en-US"/>
              </w:rPr>
              <w:t>Scheduling/measurement restrictions</w:t>
            </w:r>
          </w:p>
          <w:p>
            <w:pPr>
              <w:numPr>
                <w:ilvl w:val="3"/>
                <w:numId w:val="5"/>
              </w:numPr>
              <w:spacing w:after="0"/>
              <w:rPr>
                <w:lang w:val="en-US"/>
              </w:rPr>
            </w:pPr>
            <w:r>
              <w:rPr>
                <w:lang w:val="en-US"/>
              </w:rPr>
              <w:t>TCI state switching delay with dual TCI</w:t>
            </w:r>
          </w:p>
          <w:p>
            <w:pPr>
              <w:numPr>
                <w:ilvl w:val="3"/>
                <w:numId w:val="5"/>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OTEs:</w:t>
            </w:r>
          </w:p>
          <w:p>
            <w:pPr>
              <w:numPr>
                <w:ilvl w:val="1"/>
                <w:numId w:val="5"/>
              </w:numPr>
              <w:spacing w:after="0"/>
              <w:rPr>
                <w:rFonts w:hint="eastAsia" w:eastAsia="宋体"/>
                <w:vertAlign w:val="baseline"/>
                <w:lang w:val="en-US" w:eastAsia="zh-CN"/>
              </w:rPr>
            </w:pPr>
            <w:r>
              <w:rPr>
                <w:rFonts w:hint="eastAsia"/>
                <w:lang w:val="en-US"/>
              </w:rPr>
              <w:t>T</w:t>
            </w:r>
            <w:r>
              <w:rPr>
                <w:lang w:val="en-US"/>
              </w:rPr>
              <w:t>he case of single TCI is handled as a second priority. Additional aspects related to single TCI can be further revisited.</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L1-RSRP measurement and some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spacing w:line="240" w:lineRule="auto"/>
              <w:rPr>
                <w:b/>
                <w:bCs/>
              </w:rPr>
            </w:pPr>
            <w:r>
              <w:rPr>
                <w:b/>
                <w:bCs/>
              </w:rPr>
              <w:t>Sub-topic 1-1: Group based beam reporting (GBBR) requirements</w:t>
            </w:r>
          </w:p>
          <w:p>
            <w:pPr>
              <w:spacing w:after="120" w:line="240" w:lineRule="auto"/>
              <w:rPr>
                <w:b/>
                <w:u w:val="single"/>
                <w:lang w:eastAsia="ko-KR"/>
              </w:rPr>
            </w:pPr>
            <w:r>
              <w:rPr>
                <w:b/>
                <w:u w:val="single"/>
                <w:lang w:eastAsia="ko-KR"/>
              </w:rPr>
              <w:t>Conditions for beam pair selection:</w:t>
            </w:r>
          </w:p>
          <w:p>
            <w:pPr>
              <w:spacing w:after="120" w:line="240" w:lineRule="auto"/>
              <w:rPr>
                <w:bCs/>
              </w:rPr>
            </w:pPr>
            <w:r>
              <w:rPr>
                <w:bCs/>
                <w:highlight w:val="green"/>
              </w:rPr>
              <w:t>Agreement</w:t>
            </w:r>
          </w:p>
          <w:p>
            <w:pPr>
              <w:pStyle w:val="28"/>
              <w:numPr>
                <w:ilvl w:val="1"/>
                <w:numId w:val="6"/>
              </w:numPr>
              <w:spacing w:after="120" w:line="240" w:lineRule="auto"/>
              <w:ind w:firstLineChars="0"/>
              <w:textAlignment w:val="auto"/>
              <w:rPr>
                <w:b/>
                <w:u w:val="single"/>
                <w:lang w:eastAsia="ko-KR"/>
              </w:rPr>
            </w:pPr>
            <w:r>
              <w:rPr>
                <w:bCs/>
              </w:rPr>
              <w:t>Do not introduce additional conditions for beam pair reporting in GBBR on top of the conditions defined in RAN1 specifications in Rel-18</w:t>
            </w:r>
          </w:p>
          <w:p>
            <w:pPr>
              <w:spacing w:after="120" w:line="240" w:lineRule="auto"/>
              <w:rPr>
                <w:b/>
                <w:bCs/>
                <w:szCs w:val="24"/>
                <w:u w:val="single"/>
                <w:lang w:eastAsia="zh-CN"/>
              </w:rPr>
            </w:pPr>
            <w:r>
              <w:rPr>
                <w:b/>
                <w:bCs/>
                <w:szCs w:val="24"/>
                <w:u w:val="single"/>
                <w:lang w:eastAsia="zh-CN"/>
              </w:rPr>
              <w:t>L1-RSRP for GBBR:</w:t>
            </w:r>
          </w:p>
          <w:p>
            <w:pPr>
              <w:spacing w:after="120" w:line="240" w:lineRule="auto"/>
              <w:rPr>
                <w:bCs/>
              </w:rPr>
            </w:pPr>
            <w:r>
              <w:rPr>
                <w:bCs/>
                <w:highlight w:val="green"/>
              </w:rPr>
              <w:t>Agreement</w:t>
            </w:r>
          </w:p>
          <w:p>
            <w:pPr>
              <w:pStyle w:val="28"/>
              <w:numPr>
                <w:ilvl w:val="1"/>
                <w:numId w:val="6"/>
              </w:numPr>
              <w:spacing w:after="120" w:line="240" w:lineRule="auto"/>
              <w:ind w:firstLineChars="0"/>
              <w:textAlignment w:val="auto"/>
              <w:rPr>
                <w:bCs/>
              </w:rPr>
            </w:pPr>
            <w:r>
              <w:rPr>
                <w:bCs/>
              </w:rPr>
              <w:t xml:space="preserve">GBBR measurement delay requirements will be defined under assumption that UE uses a single Rx panel for measurements at one time instance </w:t>
            </w:r>
          </w:p>
          <w:p>
            <w:pPr>
              <w:spacing w:after="120" w:line="240" w:lineRule="auto"/>
              <w:rPr>
                <w:bCs/>
                <w:lang w:eastAsia="ko-KR"/>
              </w:rPr>
            </w:pPr>
            <w:r>
              <w:rPr>
                <w:bCs/>
                <w:lang w:eastAsia="ko-KR"/>
              </w:rPr>
              <w:t>Companies are requested to bring further analysis on L1-RSRP requirements for GBBR in next meeting</w:t>
            </w:r>
          </w:p>
          <w:p>
            <w:pPr>
              <w:bidi w:val="0"/>
              <w:spacing w:line="240" w:lineRule="auto"/>
              <w:rPr>
                <w:b/>
                <w:bCs/>
              </w:rPr>
            </w:pPr>
            <w:r>
              <w:rPr>
                <w:b/>
                <w:bCs/>
                <w:lang w:val="en-US" w:eastAsia="en-US"/>
              </w:rPr>
              <w:t>Sub-topic 1-2: L1-RSRP measurement requirements</w:t>
            </w:r>
            <w:r>
              <w:rPr>
                <w:b/>
                <w:bCs/>
              </w:rPr>
              <w:t xml:space="preserve"> </w:t>
            </w:r>
          </w:p>
          <w:p>
            <w:pPr>
              <w:spacing w:line="240" w:lineRule="auto"/>
              <w:rPr>
                <w:b/>
                <w:u w:val="single"/>
                <w:lang w:eastAsia="ko-KR"/>
              </w:rPr>
            </w:pPr>
            <w:r>
              <w:rPr>
                <w:b/>
                <w:u w:val="single"/>
                <w:lang w:eastAsia="ko-KR"/>
              </w:rPr>
              <w:t xml:space="preserve">Issue 1-2-1: Methods to achieve faster beam sweeping </w:t>
            </w:r>
          </w:p>
          <w:p>
            <w:pPr>
              <w:spacing w:after="120" w:line="240" w:lineRule="auto"/>
            </w:pPr>
            <w:r>
              <w:rPr>
                <w:highlight w:val="green"/>
              </w:rPr>
              <w:t>Agreements</w:t>
            </w:r>
            <w:r>
              <w:t>:</w:t>
            </w:r>
          </w:p>
          <w:p>
            <w:pPr>
              <w:spacing w:after="120" w:line="240" w:lineRule="auto"/>
              <w:ind w:leftChars="200"/>
            </w:pPr>
            <w:r>
              <w:t>RAN4 to define new optional UE capability for beam sweeping factor reduction for SSB-based L1-RSRP measurement if the UE is capable of multi-Rx operation.</w:t>
            </w:r>
          </w:p>
          <w:p>
            <w:pPr>
              <w:spacing w:line="240" w:lineRule="auto"/>
              <w:rPr>
                <w:b/>
                <w:bCs/>
                <w:szCs w:val="24"/>
                <w:u w:val="single"/>
                <w:lang w:eastAsia="zh-CN"/>
              </w:rPr>
            </w:pPr>
            <w:r>
              <w:rPr>
                <w:b/>
                <w:bCs/>
                <w:szCs w:val="24"/>
                <w:u w:val="single"/>
                <w:lang w:eastAsia="zh-CN"/>
              </w:rPr>
              <w:t>Issue 1-2-3: Candidate values for beam sweeping factor reduction:</w:t>
            </w:r>
          </w:p>
          <w:p>
            <w:pPr>
              <w:spacing w:line="240" w:lineRule="auto"/>
            </w:pPr>
            <w:r>
              <w:rPr>
                <w:highlight w:val="green"/>
              </w:rPr>
              <w:t>Agreements</w:t>
            </w:r>
            <w:r>
              <w:t>:</w:t>
            </w:r>
          </w:p>
          <w:p>
            <w:pPr>
              <w:spacing w:line="240" w:lineRule="auto"/>
              <w:ind w:leftChars="200"/>
              <w:rPr>
                <w:rFonts w:hint="default" w:ascii="Times New Roman" w:hAnsi="Times New Roman" w:eastAsia="Times New Roman" w:cs="Times New Roman"/>
                <w:bCs/>
                <w:kern w:val="0"/>
                <w:sz w:val="20"/>
                <w:szCs w:val="24"/>
                <w:lang w:val="en-US" w:eastAsia="zh-CN" w:bidi="ar-SA"/>
              </w:rPr>
            </w:pPr>
            <w:r>
              <w:t>The candidate number can be {2, 4, 6} for FR2-1.</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further analysis focus on L1-RSRP measurement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L1-RSRP measurement enhancement under multi-panel Rx, some progress have been achieved, such as the number of samples, the combination of RSs, and the faster beam sweeping. Based on these progress, still some issues are suspending, so we can explore from the following aspects:</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Some general clarification</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Whether the RS configured for GBBR be configured based on L3 report or not</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The assumption on GBBR measurement</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Whether need condition for faster beam sweeping</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The requirements of measurement period</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 xml:space="preserve">Besides all above, some issues were discussed in the measurement restriction and scheduling restriction aspects. So we discuss them in another document from us. </w:t>
      </w:r>
    </w:p>
    <w:p>
      <w:pPr>
        <w:pStyle w:val="3"/>
        <w:bidi w:val="0"/>
        <w:rPr>
          <w:rFonts w:hint="eastAsia" w:eastAsia="宋体"/>
          <w:color w:val="auto"/>
          <w:sz w:val="20"/>
          <w:szCs w:val="20"/>
          <w:lang w:val="en-US" w:eastAsia="zh-CN"/>
        </w:rPr>
      </w:pPr>
      <w:r>
        <w:rPr>
          <w:rFonts w:hint="eastAsia" w:ascii="Helvetica" w:hAnsi="Helvetica" w:eastAsia="宋体" w:cs="Times New Roman"/>
          <w:b/>
          <w:bCs/>
          <w:iCs w:val="0"/>
          <w:color w:val="auto"/>
          <w:kern w:val="32"/>
          <w:sz w:val="28"/>
          <w:szCs w:val="32"/>
          <w:lang w:val="en-US" w:eastAsia="zh-CN" w:bidi="ar-SA"/>
        </w:rPr>
        <w:t>2.1 Some general clarification</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Before go deep into the details, we want to clarify the understanding of L1-RSRP measurement enhancement firstly, so as to make sure companies are on the same page.</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From the perspective of NW configuration, it is possible to configure the UE capable of multi-panel Rx with both the GBBR and non-GBBR. Regarding GBBR, RAN4 has approved the following agreements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spacing w:line="252" w:lineRule="auto"/>
              <w:textAlignment w:val="auto"/>
              <w:rPr>
                <w:bCs/>
              </w:rPr>
            </w:pPr>
            <w:r>
              <w:rPr>
                <w:bCs/>
                <w:highlight w:val="green"/>
              </w:rPr>
              <w:t>Agreement</w:t>
            </w:r>
          </w:p>
          <w:p>
            <w:pPr>
              <w:pStyle w:val="28"/>
              <w:keepNext w:val="0"/>
              <w:keepLines w:val="0"/>
              <w:pageBreakBefore w:val="0"/>
              <w:numPr>
                <w:ilvl w:val="1"/>
                <w:numId w:val="6"/>
              </w:numPr>
              <w:kinsoku/>
              <w:wordWrap/>
              <w:overflowPunct/>
              <w:topLinePunct w:val="0"/>
              <w:autoSpaceDE/>
              <w:autoSpaceDN/>
              <w:bidi w:val="0"/>
              <w:adjustRightInd/>
              <w:snapToGrid/>
              <w:spacing w:line="252" w:lineRule="auto"/>
              <w:ind w:firstLineChars="0"/>
              <w:textAlignment w:val="auto"/>
              <w:rPr>
                <w:rFonts w:hint="default" w:eastAsia="宋体"/>
                <w:color w:val="auto"/>
                <w:sz w:val="20"/>
                <w:szCs w:val="20"/>
                <w:vertAlign w:val="baseline"/>
                <w:lang w:val="en-US" w:eastAsia="zh-CN"/>
              </w:rPr>
            </w:pPr>
            <w:r>
              <w:rPr>
                <w:bCs/>
              </w:rPr>
              <w:t xml:space="preserve">GBBR measurement delay requirements will be defined under assumption that UE uses a single Rx panel for measurements at one time instance </w:t>
            </w:r>
          </w:p>
        </w:tc>
      </w:tr>
    </w:tbl>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So it is clear that during the GBBR measurement, it is not assumed that UE can enhance the measurement via simultaneous reception from multiple panels. Even we discuss the exact requirements of GBBR measurement, single Rx panel should be assumed.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Based on the approved assumption on GBBR measurement delay, during GBBR measurement, a single Rx panel is assumed. UE can not perform simultaneous multi-panel reception for GBBR measurement.</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 xml:space="preserve">While regarding the non-GBBR measurement, some company may call it as the L1 measurement after UE send GBBR report, or it can be called as the </w:t>
      </w:r>
      <w:r>
        <w:rPr>
          <w:rFonts w:hint="default" w:eastAsia="宋体"/>
          <w:color w:val="auto"/>
          <w:sz w:val="20"/>
          <w:szCs w:val="20"/>
          <w:lang w:val="en-US" w:eastAsia="zh-CN"/>
        </w:rPr>
        <w:t>“</w:t>
      </w:r>
      <w:r>
        <w:rPr>
          <w:rFonts w:hint="eastAsia" w:eastAsia="宋体"/>
          <w:color w:val="auto"/>
          <w:sz w:val="20"/>
          <w:szCs w:val="20"/>
          <w:lang w:val="en-US" w:eastAsia="zh-CN"/>
        </w:rPr>
        <w:t>L1-RSRP measurement on top of GBBR</w:t>
      </w:r>
      <w:r>
        <w:rPr>
          <w:rFonts w:hint="default" w:eastAsia="宋体"/>
          <w:color w:val="auto"/>
          <w:sz w:val="20"/>
          <w:szCs w:val="20"/>
          <w:lang w:val="en-US" w:eastAsia="zh-CN"/>
        </w:rPr>
        <w:t>”</w:t>
      </w:r>
      <w:r>
        <w:rPr>
          <w:rFonts w:hint="eastAsia" w:eastAsia="宋体"/>
          <w:color w:val="auto"/>
          <w:sz w:val="20"/>
          <w:szCs w:val="20"/>
          <w:lang w:val="en-US" w:eastAsia="zh-CN"/>
        </w:rPr>
        <w:t>. During such measurement, sine the beam pair(s) have been reported to NW, so it is possible for UE to achieve simultaneous multi-panel reception from multiple TRPs during such measurement. Since of such simultaneous reception from multi-panel, UE is possible to receive multiple L1-RSRP RSs from multiple TRPs, regarding the exact RS combinations, the following agreements were approved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val="0"/>
              <w:autoSpaceDN w:val="0"/>
              <w:bidi w:val="0"/>
              <w:adjustRightInd w:val="0"/>
              <w:snapToGrid/>
              <w:spacing w:line="240" w:lineRule="auto"/>
              <w:textAlignment w:val="auto"/>
              <w:rPr>
                <w:rFonts w:eastAsiaTheme="minorEastAsia"/>
                <w:b/>
                <w:bCs/>
                <w:iCs/>
                <w:lang w:val="en-US" w:eastAsia="zh-CN"/>
              </w:rPr>
            </w:pPr>
            <w:r>
              <w:rPr>
                <w:rFonts w:eastAsiaTheme="minorEastAsia"/>
                <w:b/>
                <w:bCs/>
                <w:iCs/>
                <w:lang w:val="en-US" w:eastAsia="zh-CN"/>
              </w:rPr>
              <w:t>Which reference signals to be considered for multi-rx L1 measurement requirements</w:t>
            </w:r>
            <w:r>
              <w:rPr>
                <w:rFonts w:hint="eastAsia" w:eastAsiaTheme="minorEastAsia"/>
                <w:b/>
                <w:bCs/>
                <w:iCs/>
                <w:lang w:val="en-US" w:eastAsia="zh-CN"/>
              </w:rPr>
              <w:t>：</w:t>
            </w:r>
          </w:p>
          <w:p>
            <w:pPr>
              <w:keepNext w:val="0"/>
              <w:keepLines w:val="0"/>
              <w:pageBreakBefore w:val="0"/>
              <w:kinsoku/>
              <w:wordWrap/>
              <w:overflowPunct/>
              <w:topLinePunct w:val="0"/>
              <w:autoSpaceDE w:val="0"/>
              <w:autoSpaceDN w:val="0"/>
              <w:bidi w:val="0"/>
              <w:adjustRightInd w:val="0"/>
              <w:snapToGrid/>
              <w:spacing w:line="240" w:lineRule="auto"/>
              <w:textAlignment w:val="auto"/>
              <w:rPr>
                <w:rFonts w:eastAsiaTheme="minorEastAsia"/>
                <w:i/>
                <w:lang w:val="en-US" w:eastAsia="zh-CN"/>
              </w:rPr>
            </w:pPr>
            <w:r>
              <w:rPr>
                <w:rFonts w:eastAsiaTheme="minorEastAsia"/>
                <w:i/>
                <w:highlight w:val="green"/>
                <w:lang w:val="en-US" w:eastAsia="zh-CN"/>
              </w:rPr>
              <w:t>Agreement from GTW</w:t>
            </w:r>
            <w:r>
              <w:rPr>
                <w:rFonts w:eastAsiaTheme="minorEastAsia"/>
                <w:i/>
                <w:lang w:val="en-US" w:eastAsia="zh-CN"/>
              </w:rPr>
              <w:t>:</w:t>
            </w:r>
          </w:p>
          <w:p>
            <w:pPr>
              <w:pStyle w:val="28"/>
              <w:keepNext w:val="0"/>
              <w:keepLines w:val="0"/>
              <w:pageBreakBefore w:val="0"/>
              <w:numPr>
                <w:ilvl w:val="0"/>
                <w:numId w:val="6"/>
              </w:numPr>
              <w:kinsoku/>
              <w:wordWrap/>
              <w:overflowPunct/>
              <w:topLinePunct w:val="0"/>
              <w:autoSpaceDE w:val="0"/>
              <w:autoSpaceDN w:val="0"/>
              <w:bidi w:val="0"/>
              <w:adjustRightInd w:val="0"/>
              <w:snapToGrid/>
              <w:spacing w:line="240" w:lineRule="auto"/>
              <w:ind w:left="360" w:leftChars="0" w:hanging="360" w:firstLineChars="0"/>
              <w:textAlignment w:val="auto"/>
              <w:rPr>
                <w:lang w:val="en-US" w:eastAsia="ja-JP"/>
              </w:rPr>
            </w:pPr>
            <w:r>
              <w:rPr>
                <w:rFonts w:eastAsiaTheme="minorEastAsia"/>
                <w:iCs/>
              </w:rPr>
              <w:t>Multi-Rx L1 measurement requirements are defined under assumption of the following reference signals availability</w:t>
            </w:r>
          </w:p>
          <w:p>
            <w:pPr>
              <w:pStyle w:val="28"/>
              <w:keepNext w:val="0"/>
              <w:keepLines w:val="0"/>
              <w:pageBreakBefore w:val="0"/>
              <w:numPr>
                <w:ilvl w:val="1"/>
                <w:numId w:val="6"/>
              </w:numPr>
              <w:kinsoku/>
              <w:wordWrap/>
              <w:overflowPunct/>
              <w:topLinePunct w:val="0"/>
              <w:autoSpaceDE w:val="0"/>
              <w:autoSpaceDN w:val="0"/>
              <w:bidi w:val="0"/>
              <w:adjustRightInd w:val="0"/>
              <w:snapToGrid/>
              <w:spacing w:line="240" w:lineRule="auto"/>
              <w:ind w:left="1080" w:leftChars="0" w:hanging="360" w:firstLineChars="0"/>
              <w:textAlignment w:val="auto"/>
              <w:rPr>
                <w:lang w:eastAsia="ja-JP"/>
              </w:rPr>
            </w:pPr>
            <w:r>
              <w:rPr>
                <w:lang w:eastAsia="ja-JP"/>
              </w:rPr>
              <w:t>CSI-RS + CSI-RS: CSI-RS reference signals are transmitted from the two TRPs</w:t>
            </w:r>
          </w:p>
          <w:p>
            <w:pPr>
              <w:pStyle w:val="28"/>
              <w:keepNext w:val="0"/>
              <w:keepLines w:val="0"/>
              <w:pageBreakBefore w:val="0"/>
              <w:numPr>
                <w:ilvl w:val="1"/>
                <w:numId w:val="6"/>
              </w:numPr>
              <w:kinsoku/>
              <w:wordWrap/>
              <w:overflowPunct/>
              <w:topLinePunct w:val="0"/>
              <w:autoSpaceDE w:val="0"/>
              <w:autoSpaceDN w:val="0"/>
              <w:bidi w:val="0"/>
              <w:adjustRightInd w:val="0"/>
              <w:snapToGrid/>
              <w:spacing w:line="240" w:lineRule="auto"/>
              <w:ind w:left="1080" w:leftChars="0" w:hanging="360" w:firstLineChars="0"/>
              <w:textAlignment w:val="auto"/>
              <w:rPr>
                <w:lang w:eastAsia="ja-JP"/>
              </w:rPr>
            </w:pPr>
            <w:r>
              <w:rPr>
                <w:lang w:eastAsia="ja-JP"/>
              </w:rPr>
              <w:t>SSB + SSB: SSB signals are transmitted from the two TRPs</w:t>
            </w:r>
          </w:p>
          <w:p>
            <w:pPr>
              <w:pStyle w:val="28"/>
              <w:keepNext w:val="0"/>
              <w:keepLines w:val="0"/>
              <w:pageBreakBefore w:val="0"/>
              <w:numPr>
                <w:ilvl w:val="1"/>
                <w:numId w:val="6"/>
              </w:numPr>
              <w:kinsoku/>
              <w:wordWrap/>
              <w:overflowPunct/>
              <w:topLinePunct w:val="0"/>
              <w:autoSpaceDE w:val="0"/>
              <w:autoSpaceDN w:val="0"/>
              <w:bidi w:val="0"/>
              <w:adjustRightInd w:val="0"/>
              <w:snapToGrid/>
              <w:spacing w:line="240" w:lineRule="auto"/>
              <w:ind w:left="1080" w:leftChars="0" w:hanging="360" w:firstLineChars="0"/>
              <w:textAlignment w:val="auto"/>
              <w:rPr>
                <w:lang w:eastAsia="ja-JP"/>
              </w:rPr>
            </w:pPr>
            <w:r>
              <w:rPr>
                <w:lang w:eastAsia="ja-JP"/>
              </w:rPr>
              <w:t xml:space="preserve">FFS </w:t>
            </w:r>
          </w:p>
          <w:p>
            <w:pPr>
              <w:pStyle w:val="28"/>
              <w:keepNext w:val="0"/>
              <w:keepLines w:val="0"/>
              <w:pageBreakBefore w:val="0"/>
              <w:numPr>
                <w:ilvl w:val="2"/>
                <w:numId w:val="6"/>
              </w:numPr>
              <w:kinsoku/>
              <w:wordWrap/>
              <w:overflowPunct/>
              <w:topLinePunct w:val="0"/>
              <w:autoSpaceDE w:val="0"/>
              <w:autoSpaceDN w:val="0"/>
              <w:bidi w:val="0"/>
              <w:adjustRightInd w:val="0"/>
              <w:snapToGrid/>
              <w:spacing w:line="240" w:lineRule="auto"/>
              <w:ind w:left="1800" w:leftChars="0" w:hanging="360" w:firstLineChars="0"/>
              <w:textAlignment w:val="auto"/>
              <w:rPr>
                <w:lang w:eastAsia="ja-JP"/>
              </w:rPr>
            </w:pPr>
            <w:r>
              <w:rPr>
                <w:lang w:eastAsia="ja-JP"/>
              </w:rPr>
              <w:t>SSB + CSI-RS: SSB and CSI-RS signals are transmitted from different TRPs</w:t>
            </w:r>
          </w:p>
          <w:p>
            <w:pPr>
              <w:pStyle w:val="28"/>
              <w:keepNext w:val="0"/>
              <w:keepLines w:val="0"/>
              <w:pageBreakBefore w:val="0"/>
              <w:numPr>
                <w:ilvl w:val="1"/>
                <w:numId w:val="6"/>
              </w:numPr>
              <w:kinsoku/>
              <w:wordWrap/>
              <w:overflowPunct/>
              <w:topLinePunct w:val="0"/>
              <w:autoSpaceDE w:val="0"/>
              <w:autoSpaceDN w:val="0"/>
              <w:bidi w:val="0"/>
              <w:adjustRightInd w:val="0"/>
              <w:snapToGrid/>
              <w:spacing w:line="240" w:lineRule="auto"/>
              <w:ind w:left="1080" w:leftChars="0" w:hanging="360" w:firstLineChars="0"/>
              <w:textAlignment w:val="auto"/>
              <w:rPr>
                <w:rFonts w:hint="eastAsia" w:eastAsia="宋体"/>
                <w:color w:val="auto"/>
                <w:szCs w:val="24"/>
                <w:lang w:val="en-US" w:eastAsia="zh-CN"/>
              </w:rPr>
            </w:pPr>
            <w:r>
              <w:rPr>
                <w:lang w:eastAsia="ja-JP"/>
              </w:rPr>
              <w:t>FFS if same or different RS combinations would apply for different RRM requirements</w:t>
            </w:r>
          </w:p>
          <w:p>
            <w:pPr>
              <w:pStyle w:val="28"/>
              <w:keepNext w:val="0"/>
              <w:keepLines w:val="0"/>
              <w:pageBreakBefore w:val="0"/>
              <w:numPr>
                <w:ilvl w:val="1"/>
                <w:numId w:val="6"/>
              </w:numPr>
              <w:kinsoku/>
              <w:wordWrap/>
              <w:overflowPunct/>
              <w:topLinePunct w:val="0"/>
              <w:autoSpaceDE w:val="0"/>
              <w:autoSpaceDN w:val="0"/>
              <w:bidi w:val="0"/>
              <w:adjustRightInd w:val="0"/>
              <w:snapToGrid/>
              <w:spacing w:line="240" w:lineRule="auto"/>
              <w:ind w:left="1080" w:leftChars="0" w:hanging="360" w:firstLineChars="0"/>
              <w:textAlignment w:val="auto"/>
              <w:rPr>
                <w:rFonts w:hint="default" w:eastAsia="宋体"/>
                <w:color w:val="auto"/>
                <w:sz w:val="20"/>
                <w:szCs w:val="20"/>
                <w:vertAlign w:val="baseline"/>
                <w:lang w:val="en-US" w:eastAsia="zh-CN"/>
              </w:rPr>
            </w:pPr>
            <w:r>
              <w:rPr>
                <w:lang w:eastAsia="ja-JP"/>
              </w:rPr>
              <w:t>FFS whether to consider simultaneous and/or non-simultaneous RS transmission from different TRP to define RRM requirement</w:t>
            </w:r>
          </w:p>
        </w:tc>
      </w:tr>
    </w:tbl>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 xml:space="preserve">Based on the above agreements, two kinds of combination are allowed at least: CSI-RS+CSI-RS and SSB+SSB.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During the non-GBBR L1-RSRP measurement, UE is capable to receive multiple L1-RSRP RSs from multiple TRPs simultaneously. The exact simultaneous RS combinations can be CSI-RS+CSI-RS or SSB+SSB at least.</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When discussing the L1-RSRP measurement, it is better to distinguish the discussion between GBBR measurement and non-GBBR measurement since the assumption on reception panel are different. For the former, single Rx panel is assumed, while for the latter, multi-Rx panel is allowed.</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 xml:space="preserve">Furthermore, the faster beam sweeping based on UE capability has already approved. To our understanding, for the capable UE, the faster beam sweeping is allowed for both GBBR and non-GBBR measurements since such enhancement is only regarding the Rx beam training form a single TRP. Of course such enhancement would reduce the measurement period, so it should be captured into both the requirements of GBBR measurement and non-GBBR measurement.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Faster beam sweeping could enhance the requirements of measurement period, including both GBBR and non-GBBR measurement.</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Whether the RS configured for GBBR be configured based on L3 report or not</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Regarding this issue, the following options were captured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3"/>
              </w:numPr>
              <w:ind w:left="180" w:leftChars="0"/>
            </w:pPr>
            <w:r>
              <w:t>Option 1: NO, not to introduce L1 RSRP and GBBR restrictions based on previous L3 reports</w:t>
            </w:r>
          </w:p>
          <w:p>
            <w:pPr>
              <w:pStyle w:val="28"/>
              <w:numPr>
                <w:ilvl w:val="0"/>
                <w:numId w:val="3"/>
              </w:numPr>
              <w:ind w:left="180" w:leftChars="0"/>
              <w:rPr>
                <w:rFonts w:hint="default" w:eastAsia="宋体"/>
                <w:color w:val="auto"/>
                <w:sz w:val="20"/>
                <w:szCs w:val="20"/>
                <w:vertAlign w:val="baseline"/>
                <w:lang w:val="en-US" w:eastAsia="zh-CN"/>
              </w:rPr>
            </w:pPr>
            <w:r>
              <w:t>Option 2: Yes, group based L1 measurement period requirements are applicable only when a valid L3 measurement report associated with the L1 measurement resources was sent during the last [5] seconds</w:t>
            </w:r>
          </w:p>
        </w:tc>
      </w:tr>
    </w:tbl>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Some companies concern UE may have no time to find suitable beam pair for the measurement if without L3 report. To our understanding, firstly the CSI-RS based mTRP L3 measurement is not supported until now, while the CSI-RS + CSI-RS GBBR reporting is allowed, so for the CSI-RS+CSI-RS GBBR reporting, no L3 report can be reference. Secondly, for normal L1-RSRP measurement, we do not have any constraint on the condition of L3 report, how to configure the L1 RS, all depend on NW decision. For the L1 RS configured for GBBR, NW can configure the RS covered all beam direction, then UE can choose one or multiple pairs within all the candidates. As a result, we can not see the necessity of making L3 report as the prerequisite.</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3: Not to introduce L1 RSRP and GBBR restrictions based on previous L3 reports</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The assumption on GBBR measurement</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Regarding this issue,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3"/>
              </w:numPr>
              <w:ind w:left="396" w:leftChars="0"/>
              <w:rPr>
                <w:rFonts w:eastAsia="Yu Mincho"/>
                <w:iCs/>
                <w:lang w:eastAsia="ja-JP"/>
              </w:rPr>
            </w:pPr>
            <w:r>
              <w:rPr>
                <w:rFonts w:eastAsia="Yu Mincho"/>
                <w:iCs/>
                <w:lang w:eastAsia="ja-JP"/>
              </w:rPr>
              <w:t xml:space="preserve">Option 1: enhanced requirements </w:t>
            </w:r>
            <w:r>
              <w:rPr>
                <w:rFonts w:eastAsia="Yu Mincho"/>
                <w:lang w:eastAsia="ja-JP"/>
              </w:rPr>
              <w:t>are defined</w:t>
            </w:r>
            <w:r>
              <w:rPr>
                <w:rFonts w:eastAsia="Yu Mincho"/>
                <w:iCs/>
                <w:lang w:eastAsia="ja-JP"/>
              </w:rPr>
              <w:t xml:space="preserve"> only for full overlap</w:t>
            </w:r>
          </w:p>
          <w:p>
            <w:pPr>
              <w:pStyle w:val="28"/>
              <w:numPr>
                <w:ilvl w:val="0"/>
                <w:numId w:val="3"/>
              </w:numPr>
              <w:ind w:left="396" w:leftChars="0"/>
              <w:rPr>
                <w:rFonts w:eastAsia="Yu Mincho"/>
                <w:lang w:eastAsia="ja-JP"/>
              </w:rPr>
            </w:pPr>
            <w:r>
              <w:rPr>
                <w:rFonts w:eastAsia="Yu Mincho"/>
                <w:iCs/>
                <w:lang w:eastAsia="ja-JP"/>
              </w:rPr>
              <w:t xml:space="preserve">Option 2: enhanced requirements </w:t>
            </w:r>
            <w:r>
              <w:rPr>
                <w:rFonts w:eastAsia="Yu Mincho"/>
                <w:lang w:eastAsia="ja-JP"/>
              </w:rPr>
              <w:t xml:space="preserve">are defined </w:t>
            </w:r>
            <w:r>
              <w:rPr>
                <w:rFonts w:eastAsia="Yu Mincho"/>
                <w:iCs/>
                <w:lang w:eastAsia="ja-JP"/>
              </w:rPr>
              <w:t>also for partial overlap (the exact reduction for partial overlap is FFS)</w:t>
            </w:r>
          </w:p>
          <w:p>
            <w:pPr>
              <w:pStyle w:val="28"/>
              <w:numPr>
                <w:ilvl w:val="0"/>
                <w:numId w:val="3"/>
              </w:numPr>
              <w:ind w:left="396" w:leftChars="0"/>
              <w:rPr>
                <w:rFonts w:hint="default" w:eastAsia="宋体"/>
                <w:color w:val="auto"/>
                <w:sz w:val="20"/>
                <w:szCs w:val="20"/>
                <w:vertAlign w:val="baseline"/>
                <w:lang w:val="en-US" w:eastAsia="zh-CN"/>
              </w:rPr>
            </w:pPr>
            <w:r>
              <w:rPr>
                <w:rFonts w:eastAsia="Yu Mincho"/>
                <w:lang w:eastAsia="ja-JP"/>
              </w:rPr>
              <w:t>Option 3: RAN4 to consider non-simultaneous RS measurements from different TRPs for Rel-17 group-based L1-RSRP report requirements</w:t>
            </w:r>
          </w:p>
        </w:tc>
      </w:tr>
    </w:tbl>
    <w:p>
      <w:pPr>
        <w:pStyle w:val="8"/>
        <w:numPr>
          <w:ilvl w:val="0"/>
          <w:numId w:val="0"/>
        </w:numPr>
        <w:tabs>
          <w:tab w:val="left" w:pos="226"/>
          <w:tab w:val="left" w:pos="284"/>
          <w:tab w:val="left" w:pos="5103"/>
        </w:tabs>
        <w:snapToGrid w:val="0"/>
        <w:spacing w:before="156" w:beforeLines="50"/>
        <w:ind w:leftChars="0"/>
        <w:rPr>
          <w:rFonts w:hint="default" w:eastAsia="宋体"/>
          <w:color w:val="auto"/>
          <w:sz w:val="20"/>
          <w:szCs w:val="20"/>
          <w:lang w:val="en-US" w:eastAsia="zh-CN"/>
        </w:rPr>
      </w:pPr>
      <w:r>
        <w:rPr>
          <w:rFonts w:hint="eastAsia" w:eastAsia="宋体"/>
          <w:color w:val="auto"/>
          <w:sz w:val="20"/>
          <w:szCs w:val="20"/>
          <w:lang w:val="en-US" w:eastAsia="zh-CN"/>
        </w:rPr>
        <w:t>Based on our analysis in Section 2.1, the assumption of single Rx panel for GBBR measurement has been assumed. Between the above candidates, Option 3 is most aligned with the approved assumption. Furthermore, during the GBBR measurement, UE is not sure about the beam pair, so it is really hard to perform simultaneous multi-panel Rx.</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4: Not to consider simultaneous RS measurement from multi-panel during GBBR measurement.</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4</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Whether need condition for faster beam sweeping</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Some companies proposed the concrete conditions for faster beam sweeping. To our understand, one key point should be clarified is: the faster beam sweeping is different from the simultaneous reception from multiple TRPs, but the simultaneous reception from a single TRP, just the multi-panel Rx beam training. So if RAN4 would like to define some condition for faster beam sweeping, it should be different form the simultaneous reception from multiple TRPs.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Faster beam sweeping is the simultaneous multi-panel reception from single TRP, which is different from the simultaneous multi-panel reception from multiple TRPs.</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 xml:space="preserve">Another alternative is not to define any condition. If follow this, then the UE capable of faster beam sweeping would apply faster beam sweeping once the multiple panels are turn on. </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5: If without condition defined, then the UE capable of faster beam sweeping would apply faster beam sweeping once the multiple panels are turn on.</w:t>
      </w:r>
    </w:p>
    <w:p>
      <w:pPr>
        <w:rPr>
          <w:rFonts w:hint="eastAsia"/>
          <w:lang w:val="en-US" w:eastAsia="zh-CN"/>
        </w:rPr>
      </w:pP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5</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The requirements of measurement period</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Based on our analysis in Section 2.1, when we discuss the measurement period of L1-RSRP measurement, it is better to split the discussion for GBBR measurement and non-GBBR measurement respectively.</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 xml:space="preserve">Firstly, one common enhancement for both GBBR measurement and non-GBBR measurement is the faster beam sweeping for the capable UE. To reflect such enhancement, the most straightforward way is to reduce the number of N in the measurement period.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6: The common enhancement for both GBBR measurement and non-GBBR measurement is the faster beam sweeping for the capable UE, which would reduce the number of N in the measurement period.</w:t>
      </w:r>
    </w:p>
    <w:p>
      <w:pPr>
        <w:pStyle w:val="8"/>
        <w:numPr>
          <w:ilvl w:val="0"/>
          <w:numId w:val="0"/>
        </w:numPr>
        <w:tabs>
          <w:tab w:val="left" w:pos="226"/>
          <w:tab w:val="left" w:pos="284"/>
          <w:tab w:val="left" w:pos="5103"/>
        </w:tabs>
        <w:snapToGrid w:val="0"/>
        <w:spacing w:before="156" w:beforeLines="50"/>
        <w:ind w:leftChars="0"/>
        <w:rPr>
          <w:rFonts w:hint="default" w:eastAsia="宋体"/>
          <w:color w:val="auto"/>
          <w:sz w:val="20"/>
          <w:szCs w:val="20"/>
          <w:lang w:val="en-US" w:eastAsia="zh-CN"/>
        </w:rPr>
      </w:pPr>
      <w:r>
        <w:rPr>
          <w:rFonts w:hint="eastAsia" w:eastAsia="宋体"/>
          <w:color w:val="auto"/>
          <w:sz w:val="20"/>
          <w:szCs w:val="20"/>
          <w:lang w:val="en-US" w:eastAsia="zh-CN"/>
        </w:rPr>
        <w:t>Secondly, for the non-GBBR measurement, since of simultaneous multi-panel reception from multiple TRPs, the UE is capable of receive simultaneous RS+RS or RS+Data based on pair beams, so the scheduling restriction and measurement restriction can be relaxed. While such enhancement has not any impact on the measurement period.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For the non-GBBR measurement, the scheduling restriction and measurement restriction can be relaxed while with no impact on the measurement period.</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It has been agreed the requirement of GBBR measurement is discussed in the L1-RSRP aspects.To our understand, the reason of specific measurement requirements for group-based reporting maybe necessary lies in the following aspects:</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If the mixed RSs(SSB in Set 1 and CSI-RS in Set 2) based measurement is clarified as allowed by RAN1, then until right now, RAN4 does not define any L1-RSRP measurement requirements based on the mixed RSs, so RAN4 needs to discuss how to define L1-RSRP measurement requirements for such mixed RS scheme.</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Since different from legacy L1-RSRP reporting, beam pair(s) should be reported in the group-based reporting, so whether the legacy sample number is enough or need to enhance, some discussion is needed. Considering the legacy sample number is defined to determine a single beam quality.</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Group-based reporting is pure RAN1 enhancement, not any related conditions involved in, so as to apply such reporting better in simultaneous multiple panel reception, whether some conditions are needed, and the applicability of the measurement requirements should also be discussed. </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Therefore, it is necessary to discuss the potential new measurement requirements for group-based reporting from the above aspects.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The group-based reporting is pure RAN1 enhancement, Since different from the legacy L1-RSRP measurement, it is necessary to discuss whether define new measurement requirements for group-based reporting from the following aspects:</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potential mixed RSs measurement scheme;</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sample number;</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applicability condition.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L1-RSRP measurement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Based on the approved assumption on GBBR measurement delay, during GBBR measurement, a single Rx panel is assumed. UE can not perform simultaneous multi-panel reception for GBBR measurement.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During the non-GBBR L1-RSRP measurement, UE is capable to receive multiple L1-RSRP RSs from multiple TRPs simultaneously. The exact simultaneous RS combinations can be CSI-RS+CSI-RS or SSB+SSB at least.</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When discussing the L1-RSRP measurement, it is better to distinguish the discussion between GBBR measurement and non-GBBR measurement since the assumption on reception panel are different. For the former, single Rx panel is assumed, while for the latter, multi-Rx panel is allowed.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Faster beam sweeping could enhance the requirements of measurement period, including both GBBR and non-GBBR measurement.</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3: Not to introduce L1 RSRP and GBBR restrictions based on previous L3 reports</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4: Not to consider simultaneous RS measurement from multi-panel during GBBR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Faster beam sweeping is the simultaneous multi-panel reception from single TRP, which is different from the simultaneous multi-panel reception from multiple TRPs.</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5: If without condition defined, then the UE capable of faster beam sweeping would apply faster beam sweeping once the multiple panels are turn 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6: The common enhancement for both GBBR measurement and non-GBBR measurement is the faster beam sweeping for the capable UE, which would reduce the number of N in the measurement period.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For the non-GBBR measurement, the scheduling restriction and measurement restriction can be relaxed while with no impact on the measurement period.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The group-based reporting is pure RAN1 enhancement, Since different from the legacy L1-RSRP measurement, it is necessary to discuss whether define new measurement requirements for group-based reporting from the following aspects:</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potential mixed RSs measurement scheme;</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sample number;</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applicability condition.</w:t>
      </w:r>
    </w:p>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10"/>
        </w:numPr>
        <w:ind w:leftChars="0"/>
        <w:rPr>
          <w:rFonts w:hint="eastAsia"/>
          <w:color w:val="auto"/>
          <w:highlight w:val="none"/>
          <w:lang w:val="en-US" w:eastAsia="zh-CN"/>
        </w:rPr>
      </w:pPr>
      <w:r>
        <w:rPr>
          <w:rFonts w:hint="eastAsia"/>
          <w:color w:val="auto"/>
          <w:highlight w:val="none"/>
          <w:lang w:val="en-US" w:eastAsia="zh-CN"/>
        </w:rPr>
        <w:t xml:space="preserve">R4-2310047 </w:t>
      </w:r>
      <w:r>
        <w:rPr>
          <w:rFonts w:hint="default"/>
          <w:color w:val="auto"/>
          <w:highlight w:val="none"/>
          <w:lang w:val="en-US" w:eastAsia="zh-CN"/>
        </w:rPr>
        <w:t>“</w:t>
      </w:r>
      <w:r>
        <w:rPr>
          <w:rFonts w:hint="eastAsia"/>
          <w:color w:val="auto"/>
          <w:highlight w:val="none"/>
          <w:lang w:val="en-US" w:eastAsia="zh-CN"/>
        </w:rPr>
        <w:t>WF on FR2_multiRx_part2</w:t>
      </w:r>
      <w:r>
        <w:rPr>
          <w:rFonts w:hint="default"/>
          <w:color w:val="auto"/>
          <w:highlight w:val="none"/>
          <w:lang w:val="en-US" w:eastAsia="zh-CN"/>
        </w:rPr>
        <w:t>”</w:t>
      </w:r>
      <w:r>
        <w:rPr>
          <w:rFonts w:hint="eastAsia"/>
          <w:color w:val="auto"/>
          <w:highlight w:val="none"/>
          <w:lang w:val="en-US" w:eastAsia="zh-CN"/>
        </w:rPr>
        <w:t>, Ericsson.</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6751B5"/>
    <w:multiLevelType w:val="singleLevel"/>
    <w:tmpl w:val="876751B5"/>
    <w:lvl w:ilvl="0" w:tentative="0">
      <w:start w:val="1"/>
      <w:numFmt w:val="bullet"/>
      <w:lvlText w:val=""/>
      <w:lvlJc w:val="left"/>
      <w:pPr>
        <w:ind w:left="420" w:hanging="420"/>
      </w:pPr>
      <w:rPr>
        <w:rFonts w:hint="default" w:ascii="Wingdings" w:hAnsi="Wingdings"/>
      </w:rPr>
    </w:lvl>
  </w:abstractNum>
  <w:abstractNum w:abstractNumId="1">
    <w:nsid w:val="9AB2E776"/>
    <w:multiLevelType w:val="singleLevel"/>
    <w:tmpl w:val="9AB2E776"/>
    <w:lvl w:ilvl="0" w:tentative="0">
      <w:start w:val="1"/>
      <w:numFmt w:val="bullet"/>
      <w:lvlText w:val=""/>
      <w:lvlJc w:val="left"/>
      <w:pPr>
        <w:ind w:left="420" w:hanging="420"/>
      </w:pPr>
      <w:rPr>
        <w:rFonts w:hint="default" w:ascii="Wingdings" w:hAnsi="Wingdings"/>
      </w:rPr>
    </w:lvl>
  </w:abstractNum>
  <w:abstractNum w:abstractNumId="2">
    <w:nsid w:val="A8E5EB3A"/>
    <w:multiLevelType w:val="singleLevel"/>
    <w:tmpl w:val="A8E5EB3A"/>
    <w:lvl w:ilvl="0" w:tentative="0">
      <w:start w:val="1"/>
      <w:numFmt w:val="decimal"/>
      <w:suff w:val="space"/>
      <w:lvlText w:val="[%1]"/>
      <w:lvlJc w:val="left"/>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7552EDE"/>
    <w:multiLevelType w:val="singleLevel"/>
    <w:tmpl w:val="37552EDE"/>
    <w:lvl w:ilvl="0" w:tentative="0">
      <w:start w:val="1"/>
      <w:numFmt w:val="bullet"/>
      <w:lvlText w:val=""/>
      <w:lvlJc w:val="left"/>
      <w:pPr>
        <w:ind w:left="420" w:hanging="420"/>
      </w:pPr>
      <w:rPr>
        <w:rFonts w:hint="default" w:ascii="Wingdings" w:hAnsi="Wingdings"/>
      </w:rPr>
    </w:lvl>
  </w:abstractNum>
  <w:abstractNum w:abstractNumId="5">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6">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8"/>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8">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6"/>
  </w:num>
  <w:num w:numId="3">
    <w:abstractNumId w:val="7"/>
  </w:num>
  <w:num w:numId="4">
    <w:abstractNumId w:val="3"/>
  </w:num>
  <w:num w:numId="5">
    <w:abstractNumId w:val="5"/>
  </w:num>
  <w:num w:numId="6">
    <w:abstractNumId w:val="8"/>
  </w:num>
  <w:num w:numId="7">
    <w:abstractNumId w:val="0"/>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FD25E9"/>
    <w:rsid w:val="02122247"/>
    <w:rsid w:val="02150C3F"/>
    <w:rsid w:val="022C3A09"/>
    <w:rsid w:val="0246140E"/>
    <w:rsid w:val="028B6A1D"/>
    <w:rsid w:val="028F1C3E"/>
    <w:rsid w:val="037D0CB3"/>
    <w:rsid w:val="03D230A8"/>
    <w:rsid w:val="03D4720A"/>
    <w:rsid w:val="03E04DEA"/>
    <w:rsid w:val="04151694"/>
    <w:rsid w:val="04654053"/>
    <w:rsid w:val="04793516"/>
    <w:rsid w:val="047A3CFF"/>
    <w:rsid w:val="04885243"/>
    <w:rsid w:val="048E28D9"/>
    <w:rsid w:val="05317828"/>
    <w:rsid w:val="05477E90"/>
    <w:rsid w:val="05BB5AB9"/>
    <w:rsid w:val="05C42923"/>
    <w:rsid w:val="05F562DB"/>
    <w:rsid w:val="066F3C18"/>
    <w:rsid w:val="06963BA6"/>
    <w:rsid w:val="06965F3C"/>
    <w:rsid w:val="07CD3CDD"/>
    <w:rsid w:val="07ED21CA"/>
    <w:rsid w:val="084B363C"/>
    <w:rsid w:val="0855671D"/>
    <w:rsid w:val="089009EB"/>
    <w:rsid w:val="09716BCA"/>
    <w:rsid w:val="098C1CEA"/>
    <w:rsid w:val="09902DFD"/>
    <w:rsid w:val="09D64B23"/>
    <w:rsid w:val="09E644B8"/>
    <w:rsid w:val="0B12013A"/>
    <w:rsid w:val="0B12526E"/>
    <w:rsid w:val="0B1C5C6A"/>
    <w:rsid w:val="0B243EFB"/>
    <w:rsid w:val="0B3D3C2F"/>
    <w:rsid w:val="0B5D15B4"/>
    <w:rsid w:val="0B680E37"/>
    <w:rsid w:val="0BAC06FA"/>
    <w:rsid w:val="0BB0429A"/>
    <w:rsid w:val="0BFF5FC6"/>
    <w:rsid w:val="0C276675"/>
    <w:rsid w:val="0C394019"/>
    <w:rsid w:val="0EC91588"/>
    <w:rsid w:val="0F6C0B73"/>
    <w:rsid w:val="0F8009F9"/>
    <w:rsid w:val="10997F43"/>
    <w:rsid w:val="10DE7BAE"/>
    <w:rsid w:val="11023BFD"/>
    <w:rsid w:val="110404BB"/>
    <w:rsid w:val="111C20F6"/>
    <w:rsid w:val="117E1CB2"/>
    <w:rsid w:val="11B9344A"/>
    <w:rsid w:val="11ED345F"/>
    <w:rsid w:val="11EE68B9"/>
    <w:rsid w:val="120774A3"/>
    <w:rsid w:val="12580C13"/>
    <w:rsid w:val="130B3696"/>
    <w:rsid w:val="14006D19"/>
    <w:rsid w:val="1414436B"/>
    <w:rsid w:val="14330E67"/>
    <w:rsid w:val="146C04F1"/>
    <w:rsid w:val="1481754F"/>
    <w:rsid w:val="148F5721"/>
    <w:rsid w:val="14AC57CD"/>
    <w:rsid w:val="14B14D17"/>
    <w:rsid w:val="15393625"/>
    <w:rsid w:val="15ED3E9B"/>
    <w:rsid w:val="15FB179E"/>
    <w:rsid w:val="164514BE"/>
    <w:rsid w:val="167821BF"/>
    <w:rsid w:val="170F06AA"/>
    <w:rsid w:val="17225508"/>
    <w:rsid w:val="180A6E32"/>
    <w:rsid w:val="183F2CD2"/>
    <w:rsid w:val="1856323E"/>
    <w:rsid w:val="18892FF8"/>
    <w:rsid w:val="18AF55E3"/>
    <w:rsid w:val="18B1519A"/>
    <w:rsid w:val="18CD0507"/>
    <w:rsid w:val="195D7D48"/>
    <w:rsid w:val="19852D03"/>
    <w:rsid w:val="1A6F1A83"/>
    <w:rsid w:val="1AD01A1B"/>
    <w:rsid w:val="1B24186C"/>
    <w:rsid w:val="1B4C5221"/>
    <w:rsid w:val="1B61065A"/>
    <w:rsid w:val="1BBF3927"/>
    <w:rsid w:val="1BF813DF"/>
    <w:rsid w:val="1C177B08"/>
    <w:rsid w:val="1C647BBB"/>
    <w:rsid w:val="1C9001C6"/>
    <w:rsid w:val="1CBA2101"/>
    <w:rsid w:val="1D0573D7"/>
    <w:rsid w:val="1D153DC4"/>
    <w:rsid w:val="1D223E0B"/>
    <w:rsid w:val="1D3A54CD"/>
    <w:rsid w:val="1DF33EB1"/>
    <w:rsid w:val="1E132F88"/>
    <w:rsid w:val="1E2867E9"/>
    <w:rsid w:val="1E853F6F"/>
    <w:rsid w:val="1E9C7BCC"/>
    <w:rsid w:val="1EB86E7D"/>
    <w:rsid w:val="1ECC1E3C"/>
    <w:rsid w:val="1FC75F31"/>
    <w:rsid w:val="1FFD4083"/>
    <w:rsid w:val="20122D1B"/>
    <w:rsid w:val="202F3D4C"/>
    <w:rsid w:val="20874C29"/>
    <w:rsid w:val="20E2786E"/>
    <w:rsid w:val="21014C39"/>
    <w:rsid w:val="21045DF0"/>
    <w:rsid w:val="21244EB1"/>
    <w:rsid w:val="213964D8"/>
    <w:rsid w:val="21595D04"/>
    <w:rsid w:val="21835807"/>
    <w:rsid w:val="21F13629"/>
    <w:rsid w:val="2305377E"/>
    <w:rsid w:val="231A76D5"/>
    <w:rsid w:val="23BE460D"/>
    <w:rsid w:val="24122135"/>
    <w:rsid w:val="24D4257E"/>
    <w:rsid w:val="24F5519F"/>
    <w:rsid w:val="25253F04"/>
    <w:rsid w:val="2572202B"/>
    <w:rsid w:val="25AE612B"/>
    <w:rsid w:val="25B54731"/>
    <w:rsid w:val="25E7100D"/>
    <w:rsid w:val="2605683C"/>
    <w:rsid w:val="263604A5"/>
    <w:rsid w:val="26661176"/>
    <w:rsid w:val="26BB1419"/>
    <w:rsid w:val="27315D1D"/>
    <w:rsid w:val="27B748AA"/>
    <w:rsid w:val="27CB4CB9"/>
    <w:rsid w:val="27CC4452"/>
    <w:rsid w:val="281C2F58"/>
    <w:rsid w:val="2844775F"/>
    <w:rsid w:val="292D5BF2"/>
    <w:rsid w:val="292F6239"/>
    <w:rsid w:val="29642C4B"/>
    <w:rsid w:val="29A66B9A"/>
    <w:rsid w:val="2A34628C"/>
    <w:rsid w:val="2A724D05"/>
    <w:rsid w:val="2A7E505C"/>
    <w:rsid w:val="2AC85686"/>
    <w:rsid w:val="2AD04B5F"/>
    <w:rsid w:val="2B39549B"/>
    <w:rsid w:val="2BA94DC7"/>
    <w:rsid w:val="2BC05B2C"/>
    <w:rsid w:val="2BD617C5"/>
    <w:rsid w:val="2C112837"/>
    <w:rsid w:val="2C360608"/>
    <w:rsid w:val="2D3B30E1"/>
    <w:rsid w:val="2E014790"/>
    <w:rsid w:val="2EAE66A3"/>
    <w:rsid w:val="2EE77680"/>
    <w:rsid w:val="2F2F0FC8"/>
    <w:rsid w:val="2F591020"/>
    <w:rsid w:val="2F8E63A4"/>
    <w:rsid w:val="301C6BB6"/>
    <w:rsid w:val="30723652"/>
    <w:rsid w:val="30766FB2"/>
    <w:rsid w:val="31687544"/>
    <w:rsid w:val="319708F2"/>
    <w:rsid w:val="31B14C9E"/>
    <w:rsid w:val="31FE2981"/>
    <w:rsid w:val="32980539"/>
    <w:rsid w:val="33170395"/>
    <w:rsid w:val="33C522D7"/>
    <w:rsid w:val="33EE09D6"/>
    <w:rsid w:val="33F228A5"/>
    <w:rsid w:val="347C19A0"/>
    <w:rsid w:val="34807672"/>
    <w:rsid w:val="35135B80"/>
    <w:rsid w:val="351B1E30"/>
    <w:rsid w:val="358E5935"/>
    <w:rsid w:val="35B06C6A"/>
    <w:rsid w:val="36941AA2"/>
    <w:rsid w:val="36D37423"/>
    <w:rsid w:val="379D23F9"/>
    <w:rsid w:val="37E74183"/>
    <w:rsid w:val="39110091"/>
    <w:rsid w:val="3A185287"/>
    <w:rsid w:val="3A1F46B8"/>
    <w:rsid w:val="3A692CD0"/>
    <w:rsid w:val="3B270929"/>
    <w:rsid w:val="3B3D5571"/>
    <w:rsid w:val="3B5D276F"/>
    <w:rsid w:val="3B673620"/>
    <w:rsid w:val="3B9A1F29"/>
    <w:rsid w:val="3BAA6FE7"/>
    <w:rsid w:val="3BE160AB"/>
    <w:rsid w:val="3BEA7D63"/>
    <w:rsid w:val="3CE4646B"/>
    <w:rsid w:val="3D5E7AA8"/>
    <w:rsid w:val="3D6F2596"/>
    <w:rsid w:val="3F5E503E"/>
    <w:rsid w:val="3FA3488F"/>
    <w:rsid w:val="40060459"/>
    <w:rsid w:val="405F175E"/>
    <w:rsid w:val="40737877"/>
    <w:rsid w:val="40A811A8"/>
    <w:rsid w:val="40C765F3"/>
    <w:rsid w:val="41C755BE"/>
    <w:rsid w:val="41EF183A"/>
    <w:rsid w:val="42424160"/>
    <w:rsid w:val="42B16B47"/>
    <w:rsid w:val="42F869D2"/>
    <w:rsid w:val="43553536"/>
    <w:rsid w:val="43AD068D"/>
    <w:rsid w:val="44972678"/>
    <w:rsid w:val="44C465F8"/>
    <w:rsid w:val="44D2042F"/>
    <w:rsid w:val="44E65610"/>
    <w:rsid w:val="451632B9"/>
    <w:rsid w:val="45394C2C"/>
    <w:rsid w:val="45906394"/>
    <w:rsid w:val="45D40A2F"/>
    <w:rsid w:val="45F60A50"/>
    <w:rsid w:val="46142D0C"/>
    <w:rsid w:val="463A5AC1"/>
    <w:rsid w:val="46970A81"/>
    <w:rsid w:val="46B036BF"/>
    <w:rsid w:val="46F866D1"/>
    <w:rsid w:val="47282363"/>
    <w:rsid w:val="476B3528"/>
    <w:rsid w:val="47C726B0"/>
    <w:rsid w:val="49DC4EAC"/>
    <w:rsid w:val="49E55BC5"/>
    <w:rsid w:val="4A03035B"/>
    <w:rsid w:val="4C1C63D6"/>
    <w:rsid w:val="4C864A35"/>
    <w:rsid w:val="4C9C556F"/>
    <w:rsid w:val="4CA20EC7"/>
    <w:rsid w:val="4E015C76"/>
    <w:rsid w:val="4E310026"/>
    <w:rsid w:val="4E4A2325"/>
    <w:rsid w:val="4E593663"/>
    <w:rsid w:val="4E702749"/>
    <w:rsid w:val="4EC85323"/>
    <w:rsid w:val="4EDB3464"/>
    <w:rsid w:val="4FE973EB"/>
    <w:rsid w:val="501A6C55"/>
    <w:rsid w:val="50AD31B7"/>
    <w:rsid w:val="511F73F9"/>
    <w:rsid w:val="51234069"/>
    <w:rsid w:val="51B14BED"/>
    <w:rsid w:val="52526454"/>
    <w:rsid w:val="525C1CEF"/>
    <w:rsid w:val="528B5767"/>
    <w:rsid w:val="52A77D4F"/>
    <w:rsid w:val="52D33625"/>
    <w:rsid w:val="52FD1C01"/>
    <w:rsid w:val="52FD33B4"/>
    <w:rsid w:val="536E37BE"/>
    <w:rsid w:val="5372021A"/>
    <w:rsid w:val="53A3105E"/>
    <w:rsid w:val="53C64B93"/>
    <w:rsid w:val="548A6C60"/>
    <w:rsid w:val="54A111AB"/>
    <w:rsid w:val="54E07F19"/>
    <w:rsid w:val="553B417D"/>
    <w:rsid w:val="55B1164D"/>
    <w:rsid w:val="55B4735E"/>
    <w:rsid w:val="55BB221D"/>
    <w:rsid w:val="55D64ABB"/>
    <w:rsid w:val="56371459"/>
    <w:rsid w:val="56484633"/>
    <w:rsid w:val="574B3EB2"/>
    <w:rsid w:val="577823B2"/>
    <w:rsid w:val="58D0053D"/>
    <w:rsid w:val="59064002"/>
    <w:rsid w:val="598C40A0"/>
    <w:rsid w:val="59DA647E"/>
    <w:rsid w:val="59EF102F"/>
    <w:rsid w:val="5A4D0D18"/>
    <w:rsid w:val="5A556E1A"/>
    <w:rsid w:val="5ABD6B5A"/>
    <w:rsid w:val="5AD04359"/>
    <w:rsid w:val="5C1166E3"/>
    <w:rsid w:val="5C811C94"/>
    <w:rsid w:val="5CEA5E4B"/>
    <w:rsid w:val="5E2864D0"/>
    <w:rsid w:val="5E494511"/>
    <w:rsid w:val="5E617EB9"/>
    <w:rsid w:val="5EB44FC0"/>
    <w:rsid w:val="5EB81F13"/>
    <w:rsid w:val="5EDA64BC"/>
    <w:rsid w:val="5FBA395F"/>
    <w:rsid w:val="5FCA785E"/>
    <w:rsid w:val="60B92183"/>
    <w:rsid w:val="60EC2CBA"/>
    <w:rsid w:val="61661B78"/>
    <w:rsid w:val="61CC2D28"/>
    <w:rsid w:val="62DE3B93"/>
    <w:rsid w:val="630C63B9"/>
    <w:rsid w:val="63447B86"/>
    <w:rsid w:val="63454F29"/>
    <w:rsid w:val="635902CD"/>
    <w:rsid w:val="642A3E76"/>
    <w:rsid w:val="645E1DDB"/>
    <w:rsid w:val="64706BBE"/>
    <w:rsid w:val="64F2095B"/>
    <w:rsid w:val="65267327"/>
    <w:rsid w:val="65C60E57"/>
    <w:rsid w:val="65D63F94"/>
    <w:rsid w:val="66036AF7"/>
    <w:rsid w:val="67A858DB"/>
    <w:rsid w:val="67BC700D"/>
    <w:rsid w:val="67FE4166"/>
    <w:rsid w:val="68AD2162"/>
    <w:rsid w:val="68C401C3"/>
    <w:rsid w:val="69045D7F"/>
    <w:rsid w:val="693027BF"/>
    <w:rsid w:val="6968769B"/>
    <w:rsid w:val="69831B57"/>
    <w:rsid w:val="69A833BD"/>
    <w:rsid w:val="69FB3F8F"/>
    <w:rsid w:val="6A5D78D5"/>
    <w:rsid w:val="6A85354A"/>
    <w:rsid w:val="6B5A3793"/>
    <w:rsid w:val="6C4E0A66"/>
    <w:rsid w:val="6C8E0C06"/>
    <w:rsid w:val="6CEA79B8"/>
    <w:rsid w:val="6D566F0F"/>
    <w:rsid w:val="6D836F72"/>
    <w:rsid w:val="6DC2026F"/>
    <w:rsid w:val="6DDE3DAF"/>
    <w:rsid w:val="6E281030"/>
    <w:rsid w:val="6E2C7D5B"/>
    <w:rsid w:val="6E3241BE"/>
    <w:rsid w:val="6EB97A9D"/>
    <w:rsid w:val="6EF10A90"/>
    <w:rsid w:val="6FD45BF8"/>
    <w:rsid w:val="6FFF1868"/>
    <w:rsid w:val="70332195"/>
    <w:rsid w:val="715037EE"/>
    <w:rsid w:val="71507435"/>
    <w:rsid w:val="715F4C2D"/>
    <w:rsid w:val="721C3FA1"/>
    <w:rsid w:val="722F78FB"/>
    <w:rsid w:val="723D67C5"/>
    <w:rsid w:val="7250627B"/>
    <w:rsid w:val="72BF60CA"/>
    <w:rsid w:val="72F41282"/>
    <w:rsid w:val="733D0D32"/>
    <w:rsid w:val="73D411F1"/>
    <w:rsid w:val="74165422"/>
    <w:rsid w:val="74E63B01"/>
    <w:rsid w:val="753811DE"/>
    <w:rsid w:val="7566040A"/>
    <w:rsid w:val="757733D9"/>
    <w:rsid w:val="75A7114C"/>
    <w:rsid w:val="75BE67D4"/>
    <w:rsid w:val="75C2004C"/>
    <w:rsid w:val="75C759C1"/>
    <w:rsid w:val="760F5DAE"/>
    <w:rsid w:val="762D64F3"/>
    <w:rsid w:val="763E0D7C"/>
    <w:rsid w:val="76761433"/>
    <w:rsid w:val="767E7EFF"/>
    <w:rsid w:val="775B4604"/>
    <w:rsid w:val="77B55917"/>
    <w:rsid w:val="77C067C3"/>
    <w:rsid w:val="77EA64D7"/>
    <w:rsid w:val="78911E31"/>
    <w:rsid w:val="78A33286"/>
    <w:rsid w:val="7922350F"/>
    <w:rsid w:val="792B5470"/>
    <w:rsid w:val="79762E65"/>
    <w:rsid w:val="79C637D8"/>
    <w:rsid w:val="7A7F40B1"/>
    <w:rsid w:val="7A9367CB"/>
    <w:rsid w:val="7AA10DE7"/>
    <w:rsid w:val="7AF22571"/>
    <w:rsid w:val="7B69224B"/>
    <w:rsid w:val="7BE80F25"/>
    <w:rsid w:val="7C036618"/>
    <w:rsid w:val="7C1C35A7"/>
    <w:rsid w:val="7C45431D"/>
    <w:rsid w:val="7D243E1C"/>
    <w:rsid w:val="7D3219D5"/>
    <w:rsid w:val="7DDD0501"/>
    <w:rsid w:val="7DE51372"/>
    <w:rsid w:val="7E3F4005"/>
    <w:rsid w:val="7E5E590F"/>
    <w:rsid w:val="7E935AFB"/>
    <w:rsid w:val="7EAF1137"/>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2023-08-11T13:20:55Z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